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FB8E" w14:textId="1E4FE153" w:rsidR="007F2BE4" w:rsidRDefault="007E2851" w:rsidP="00DD475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D4756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169tollerton"/>
      <w:bookmarkEnd w:id="0"/>
      <w:r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 169 </w:t>
      </w:r>
      <w:r w:rsid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(&amp; 613 / 698) </w:t>
      </w:r>
      <w:r w:rsidR="00DD4756"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D4756">
        <w:rPr>
          <w:rFonts w:ascii="Arial" w:hAnsi="Arial" w:cs="Arial"/>
          <w:b/>
          <w:bCs/>
          <w:color w:val="000000"/>
          <w:sz w:val="28"/>
          <w:szCs w:val="28"/>
        </w:rPr>
        <w:t>Tollerton Hall Camp, Tollerton, Nottinghamshire</w:t>
      </w:r>
    </w:p>
    <w:p w14:paraId="3A26088F" w14:textId="77777777" w:rsidR="00DD4756" w:rsidRPr="00DD4756" w:rsidRDefault="00DD4756" w:rsidP="00DD4756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385"/>
        <w:gridCol w:w="2835"/>
        <w:gridCol w:w="1701"/>
        <w:gridCol w:w="992"/>
        <w:gridCol w:w="1134"/>
        <w:gridCol w:w="6197"/>
      </w:tblGrid>
      <w:tr w:rsidR="007F2BE4" w:rsidRPr="00D6426E" w14:paraId="331DD4C2" w14:textId="77777777" w:rsidTr="00DD475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AF3F57" w14:textId="77777777" w:rsidR="007F2BE4" w:rsidRPr="00DD4756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118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4DAEE6FF" w14:textId="77777777" w:rsidTr="00DD4756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77DC6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4E878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B1028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BBDF3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7066C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22BF2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0AED4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3D1DD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4A6EA7" w:rsidRPr="00D6426E" w14:paraId="4EE3BD17" w14:textId="77777777" w:rsidTr="004A6EA7">
        <w:trPr>
          <w:jc w:val="center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E0A45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6153 3349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0CB5E8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AB502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2E13CD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Tollerton Hall Camp, Tollerton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BA6515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C4A6A6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3A2E34" w14:textId="77777777" w:rsidR="004A6EA7" w:rsidRPr="00D6426E" w:rsidRDefault="004A6EA7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0B837D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Restored parkland. Evidence of hut</w:t>
            </w:r>
          </w:p>
          <w:p w14:paraId="34C04354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footings also visible at SK 6136 3457. See Camp no.613</w:t>
            </w:r>
          </w:p>
        </w:tc>
      </w:tr>
      <w:tr w:rsidR="004A6EA7" w:rsidRPr="00D6426E" w14:paraId="7E697161" w14:textId="77777777" w:rsidTr="00346068">
        <w:trPr>
          <w:jc w:val="center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363FC9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39F568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888C7E" w14:textId="4DF54FCA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2A553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0D3C0A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C5322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12EC5" w14:textId="77777777" w:rsidR="004A6EA7" w:rsidRPr="00D6426E" w:rsidRDefault="004A6EA7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0C3566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9F174" w14:textId="4AEACD8A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0"/>
        <w:gridCol w:w="5918"/>
      </w:tblGrid>
      <w:tr w:rsidR="002748F8" w:rsidRPr="00D6426E" w14:paraId="16EF3503" w14:textId="77777777" w:rsidTr="00D8696F">
        <w:tc>
          <w:tcPr>
            <w:tcW w:w="10343" w:type="dxa"/>
            <w:vMerge w:val="restart"/>
          </w:tcPr>
          <w:p w14:paraId="0EF02434" w14:textId="188B6AB2" w:rsidR="002748F8" w:rsidRPr="00CB370B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</w:rPr>
              <w:t>About 8 km SE of central Nottingham.</w:t>
            </w:r>
          </w:p>
          <w:p w14:paraId="2DA98721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E7D314" w14:textId="3ECB5788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</w:rPr>
              <w:t xml:space="preserve">Country estate. </w:t>
            </w:r>
            <w:r w:rsidR="00B75C49" w:rsidRPr="00CB37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After 1929, it ceased to be a private house and the owners turned it into a residential sports club and hotel.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At the start of </w:t>
            </w:r>
            <w:proofErr w:type="gramStart"/>
            <w:r w:rsidR="00CB370B">
              <w:rPr>
                <w:rFonts w:ascii="Arial" w:hAnsi="Arial" w:cs="Arial"/>
                <w:bCs/>
                <w:sz w:val="20"/>
                <w:szCs w:val="20"/>
              </w:rPr>
              <w:t>WW2</w:t>
            </w:r>
            <w:proofErr w:type="gramEnd"/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 it was requisitioned and used by the Army, RAF, and the US 507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 Parachute Infantry Regiment up until May 1944.</w:t>
            </w:r>
            <w:r w:rsidR="00E77D57">
              <w:rPr>
                <w:rFonts w:ascii="Arial" w:hAnsi="Arial" w:cs="Arial"/>
                <w:bCs/>
                <w:sz w:val="20"/>
                <w:szCs w:val="20"/>
              </w:rPr>
              <w:t xml:space="preserve"> The 507</w:t>
            </w:r>
            <w:r w:rsidR="00E77D57" w:rsidRPr="00E77D5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E77D57">
              <w:rPr>
                <w:rFonts w:ascii="Arial" w:hAnsi="Arial" w:cs="Arial"/>
                <w:bCs/>
                <w:sz w:val="20"/>
                <w:szCs w:val="20"/>
              </w:rPr>
              <w:t xml:space="preserve"> arrived in March 1944 and the camp was then described as a tent city – with officers using the Hall.</w:t>
            </w:r>
          </w:p>
          <w:p w14:paraId="529224C7" w14:textId="77777777" w:rsidR="00CB370B" w:rsidRPr="00CB370B" w:rsidRDefault="00CB370B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998905" w14:textId="542D5A39" w:rsidR="002748F8" w:rsidRPr="00CB370B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Reports state that Italian and then German pows were held here and guarded by Polish </w:t>
            </w:r>
            <w:r w:rsidR="00E77D57">
              <w:rPr>
                <w:rFonts w:ascii="Arial" w:hAnsi="Arial" w:cs="Arial"/>
                <w:bCs/>
                <w:sz w:val="20"/>
                <w:szCs w:val="20"/>
              </w:rPr>
              <w:t>soldiers.</w:t>
            </w:r>
          </w:p>
          <w:p w14:paraId="240F0EFE" w14:textId="5A5B6EEE" w:rsidR="00B75C49" w:rsidRDefault="00B75C49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B86BE" w14:textId="146E162F" w:rsidR="00B75C49" w:rsidRPr="00B75C49" w:rsidRDefault="00B75C49" w:rsidP="00D956E7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bookmarkStart w:id="2" w:name="_Hlk17813294"/>
            <w:r w:rsidRPr="00B75C49">
              <w:rPr>
                <w:rFonts w:ascii="Arial" w:hAnsi="Arial" w:cs="Arial"/>
                <w:color w:val="333333"/>
                <w:sz w:val="20"/>
                <w:szCs w:val="20"/>
              </w:rPr>
              <w:t xml:space="preserve">Incidental information from a German theatre group journal held by the </w:t>
            </w:r>
            <w:proofErr w:type="spellStart"/>
            <w:r w:rsidRPr="00B75C49">
              <w:rPr>
                <w:rFonts w:ascii="Arial" w:hAnsi="Arial" w:cs="Arial"/>
                <w:color w:val="333333"/>
                <w:sz w:val="20"/>
                <w:szCs w:val="20"/>
              </w:rPr>
              <w:t>Deutsches</w:t>
            </w:r>
            <w:proofErr w:type="spellEnd"/>
            <w:r w:rsidRPr="00B75C4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75C49">
              <w:rPr>
                <w:rFonts w:ascii="Arial" w:hAnsi="Arial" w:cs="Arial"/>
                <w:color w:val="333333"/>
                <w:sz w:val="20"/>
                <w:szCs w:val="20"/>
              </w:rPr>
              <w:t>Historisches</w:t>
            </w:r>
            <w:proofErr w:type="spellEnd"/>
            <w:r w:rsidRPr="00B75C49">
              <w:rPr>
                <w:rFonts w:ascii="Arial" w:hAnsi="Arial" w:cs="Arial"/>
                <w:color w:val="333333"/>
                <w:sz w:val="20"/>
                <w:szCs w:val="20"/>
              </w:rPr>
              <w:t xml:space="preserve"> Museum. The group toured pow camps around England during 1946. It recorded its visit to Tollerton Hall Camp, 698 on 30th October 1946. (Note use of 698 at this time).</w:t>
            </w:r>
            <w:bookmarkEnd w:id="2"/>
          </w:p>
          <w:p w14:paraId="3CFC1C42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4DEA7" w14:textId="0DB0F421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7D57">
              <w:rPr>
                <w:rFonts w:ascii="Arial" w:hAnsi="Arial" w:cs="Arial"/>
                <w:color w:val="000000"/>
                <w:sz w:val="20"/>
                <w:szCs w:val="20"/>
              </w:rPr>
              <w:t>The Hall was converted to a junior seminary for the Roman catholic Church. 1987 the Hall was converted to offices.</w:t>
            </w:r>
          </w:p>
          <w:p w14:paraId="376E7BD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2CD44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ED9667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B6F66E" w14:textId="5954A257" w:rsidR="002748F8" w:rsidRPr="00E77D57" w:rsidRDefault="000D689C" w:rsidP="00E77D5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1120/230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165 to 175. Dated 1 Jan 1946 to 31 Dec 1948</w:t>
            </w:r>
          </w:p>
        </w:tc>
        <w:tc>
          <w:tcPr>
            <w:tcW w:w="5045" w:type="dxa"/>
          </w:tcPr>
          <w:p w14:paraId="1F18D6A5" w14:textId="6E256A8D" w:rsidR="002748F8" w:rsidRPr="00D6426E" w:rsidRDefault="00121DC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C75A3F3" wp14:editId="250722D7">
                  <wp:extent cx="3620925" cy="2988000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ollert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25" cy="29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61DC6B9" w14:textId="77777777" w:rsidTr="00D8696F">
        <w:tc>
          <w:tcPr>
            <w:tcW w:w="10343" w:type="dxa"/>
            <w:vMerge/>
          </w:tcPr>
          <w:p w14:paraId="71D168F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45" w:type="dxa"/>
          </w:tcPr>
          <w:p w14:paraId="09B594E5" w14:textId="04ECAF52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5495F">
              <w:rPr>
                <w:rFonts w:ascii="Arial" w:hAnsi="Arial" w:cs="Arial"/>
                <w:color w:val="222222"/>
                <w:sz w:val="20"/>
                <w:szCs w:val="20"/>
              </w:rPr>
              <w:t>1952</w:t>
            </w:r>
          </w:p>
        </w:tc>
      </w:tr>
    </w:tbl>
    <w:p w14:paraId="7EC57F05" w14:textId="368D60A3" w:rsidR="007F2BE4" w:rsidRPr="00D8696F" w:rsidRDefault="007F2BE4" w:rsidP="00D8696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3" w:name="_GoBack"/>
      <w:bookmarkEnd w:id="3"/>
    </w:p>
    <w:sectPr w:rsidR="007F2BE4" w:rsidRPr="00D8696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EE22" w14:textId="77777777" w:rsidR="003E13F1" w:rsidRDefault="003E13F1" w:rsidP="00152508">
      <w:r>
        <w:separator/>
      </w:r>
    </w:p>
  </w:endnote>
  <w:endnote w:type="continuationSeparator" w:id="0">
    <w:p w14:paraId="3E224132" w14:textId="77777777" w:rsidR="003E13F1" w:rsidRDefault="003E13F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B75C49" w:rsidRDefault="00B75C4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75C49" w:rsidRDefault="00B75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57211" w14:textId="77777777" w:rsidR="003E13F1" w:rsidRDefault="003E13F1" w:rsidP="00152508">
      <w:r>
        <w:separator/>
      </w:r>
    </w:p>
  </w:footnote>
  <w:footnote w:type="continuationSeparator" w:id="0">
    <w:p w14:paraId="299F8F5C" w14:textId="77777777" w:rsidR="003E13F1" w:rsidRDefault="003E13F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numPicBullet w:numPicBulletId="1">
    <w:pict>
      <v:shape id="_x0000_i1097" type="#_x0000_t75" style="width:3in;height:3in" o:bullet="t"/>
    </w:pict>
  </w:numPicBullet>
  <w:numPicBullet w:numPicBulletId="2">
    <w:pict>
      <v:shape id="_x0000_i1098" type="#_x0000_t75" style="width:3in;height:3in" o:bullet="t"/>
    </w:pict>
  </w:numPicBullet>
  <w:numPicBullet w:numPicBulletId="3">
    <w:pict>
      <v:shape id="_x0000_i1099" type="#_x0000_t75" style="width:3in;height:3in" o:bullet="t"/>
    </w:pict>
  </w:numPicBullet>
  <w:numPicBullet w:numPicBulletId="4">
    <w:pict>
      <v:shape id="_x0000_i1100" type="#_x0000_t75" style="width:3in;height:3in" o:bullet="t"/>
    </w:pict>
  </w:numPicBullet>
  <w:numPicBullet w:numPicBulletId="5">
    <w:pict>
      <v:shape id="_x0000_i1101" type="#_x0000_t75" style="width:3in;height:3in" o:bullet="t"/>
    </w:pict>
  </w:numPicBullet>
  <w:numPicBullet w:numPicBulletId="6">
    <w:pict>
      <v:shape id="_x0000_i1102" type="#_x0000_t75" style="width:3in;height:3in" o:bullet="t"/>
    </w:pict>
  </w:numPicBullet>
  <w:numPicBullet w:numPicBulletId="7">
    <w:pict>
      <v:shape id="_x0000_i1103" type="#_x0000_t75" style="width:3in;height:3in" o:bullet="t"/>
    </w:pict>
  </w:numPicBullet>
  <w:numPicBullet w:numPicBulletId="8">
    <w:pict>
      <v:shape id="_x0000_i1104" type="#_x0000_t75" style="width:3in;height:3in" o:bullet="t"/>
    </w:pict>
  </w:numPicBullet>
  <w:numPicBullet w:numPicBulletId="9">
    <w:pict>
      <v:shape id="_x0000_i1105" type="#_x0000_t75" style="width:3in;height:3in" o:bullet="t"/>
    </w:pict>
  </w:numPicBullet>
  <w:numPicBullet w:numPicBulletId="10">
    <w:pict>
      <v:shape id="_x0000_i1106" type="#_x0000_t75" style="width:3in;height:3in" o:bullet="t"/>
    </w:pict>
  </w:numPicBullet>
  <w:numPicBullet w:numPicBulletId="11">
    <w:pict>
      <v:shape id="_x0000_i1107" type="#_x0000_t75" style="width:3in;height:3in" o:bullet="t"/>
    </w:pict>
  </w:numPicBullet>
  <w:numPicBullet w:numPicBulletId="12">
    <w:pict>
      <v:shape id="_x0000_i1108" type="#_x0000_t75" style="width:3in;height:3in" o:bullet="t"/>
    </w:pict>
  </w:numPicBullet>
  <w:numPicBullet w:numPicBulletId="13">
    <w:pict>
      <v:shape id="_x0000_i1109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7"/>
  </w:num>
  <w:num w:numId="5">
    <w:abstractNumId w:val="28"/>
  </w:num>
  <w:num w:numId="6">
    <w:abstractNumId w:val="16"/>
  </w:num>
  <w:num w:numId="7">
    <w:abstractNumId w:val="26"/>
  </w:num>
  <w:num w:numId="8">
    <w:abstractNumId w:val="27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21"/>
  </w:num>
  <w:num w:numId="14">
    <w:abstractNumId w:val="7"/>
  </w:num>
  <w:num w:numId="15">
    <w:abstractNumId w:val="1"/>
  </w:num>
  <w:num w:numId="16">
    <w:abstractNumId w:val="31"/>
  </w:num>
  <w:num w:numId="17">
    <w:abstractNumId w:val="32"/>
  </w:num>
  <w:num w:numId="18">
    <w:abstractNumId w:val="15"/>
  </w:num>
  <w:num w:numId="19">
    <w:abstractNumId w:val="23"/>
  </w:num>
  <w:num w:numId="20">
    <w:abstractNumId w:val="6"/>
  </w:num>
  <w:num w:numId="21">
    <w:abstractNumId w:val="22"/>
  </w:num>
  <w:num w:numId="22">
    <w:abstractNumId w:val="24"/>
  </w:num>
  <w:num w:numId="23">
    <w:abstractNumId w:val="29"/>
  </w:num>
  <w:num w:numId="24">
    <w:abstractNumId w:val="18"/>
  </w:num>
  <w:num w:numId="25">
    <w:abstractNumId w:val="13"/>
  </w:num>
  <w:num w:numId="26">
    <w:abstractNumId w:val="30"/>
  </w:num>
  <w:num w:numId="27">
    <w:abstractNumId w:val="20"/>
  </w:num>
  <w:num w:numId="28">
    <w:abstractNumId w:val="25"/>
  </w:num>
  <w:num w:numId="29">
    <w:abstractNumId w:val="19"/>
  </w:num>
  <w:num w:numId="30">
    <w:abstractNumId w:val="0"/>
  </w:num>
  <w:num w:numId="31">
    <w:abstractNumId w:val="3"/>
  </w:num>
  <w:num w:numId="32">
    <w:abstractNumId w:val="33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512B7"/>
    <w:rsid w:val="00152508"/>
    <w:rsid w:val="0015495F"/>
    <w:rsid w:val="00156A7C"/>
    <w:rsid w:val="0017230D"/>
    <w:rsid w:val="001743E4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4409"/>
    <w:rsid w:val="002D0B2A"/>
    <w:rsid w:val="002D0C99"/>
    <w:rsid w:val="002E7917"/>
    <w:rsid w:val="002F1C7A"/>
    <w:rsid w:val="002F6F0F"/>
    <w:rsid w:val="002F7792"/>
    <w:rsid w:val="0030032E"/>
    <w:rsid w:val="00316E7F"/>
    <w:rsid w:val="00340747"/>
    <w:rsid w:val="00343F0A"/>
    <w:rsid w:val="00345972"/>
    <w:rsid w:val="00346068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D30F2"/>
    <w:rsid w:val="003E13F1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56DC"/>
    <w:rsid w:val="00610A2C"/>
    <w:rsid w:val="00664007"/>
    <w:rsid w:val="00664143"/>
    <w:rsid w:val="006757AD"/>
    <w:rsid w:val="00695269"/>
    <w:rsid w:val="006A2F9D"/>
    <w:rsid w:val="006A33A6"/>
    <w:rsid w:val="006A5659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86FB7"/>
    <w:rsid w:val="007A1F4B"/>
    <w:rsid w:val="007A4488"/>
    <w:rsid w:val="007B53BA"/>
    <w:rsid w:val="007C03BC"/>
    <w:rsid w:val="007C6093"/>
    <w:rsid w:val="007D1083"/>
    <w:rsid w:val="007D20CA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52A0C"/>
    <w:rsid w:val="008540AB"/>
    <w:rsid w:val="0085457E"/>
    <w:rsid w:val="00865F25"/>
    <w:rsid w:val="00891EA6"/>
    <w:rsid w:val="00895DBA"/>
    <w:rsid w:val="00895F0B"/>
    <w:rsid w:val="00897EA2"/>
    <w:rsid w:val="008A3A0A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3427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5030"/>
    <w:rsid w:val="00A73963"/>
    <w:rsid w:val="00A749AD"/>
    <w:rsid w:val="00A9424D"/>
    <w:rsid w:val="00AA40F3"/>
    <w:rsid w:val="00AB1ADD"/>
    <w:rsid w:val="00AB3E15"/>
    <w:rsid w:val="00AB52E1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C49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372B"/>
    <w:rsid w:val="00C10A85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B0C96"/>
    <w:rsid w:val="00CB370B"/>
    <w:rsid w:val="00CB6F01"/>
    <w:rsid w:val="00CC1308"/>
    <w:rsid w:val="00CC4AF4"/>
    <w:rsid w:val="00CC7163"/>
    <w:rsid w:val="00CD07AD"/>
    <w:rsid w:val="00CD39C2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8696F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23657"/>
    <w:rsid w:val="00E46530"/>
    <w:rsid w:val="00E52B7B"/>
    <w:rsid w:val="00E657D7"/>
    <w:rsid w:val="00E712F1"/>
    <w:rsid w:val="00E7758E"/>
    <w:rsid w:val="00E77D57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D3CE4"/>
    <w:rsid w:val="00EE73C2"/>
    <w:rsid w:val="00EF76C0"/>
    <w:rsid w:val="00F1353E"/>
    <w:rsid w:val="00F20325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A0326"/>
    <w:rsid w:val="00FA0E6B"/>
    <w:rsid w:val="00FA6905"/>
    <w:rsid w:val="00FA76D6"/>
    <w:rsid w:val="00FD1887"/>
    <w:rsid w:val="00FE0473"/>
    <w:rsid w:val="00FF0D03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D668-4309-4F0B-A293-48780682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2019-12-21T13:45:00Z</dcterms:created>
  <dcterms:modified xsi:type="dcterms:W3CDTF">2019-12-21T13:45:00Z</dcterms:modified>
</cp:coreProperties>
</file>